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大标宋_GBK" w:hAnsi="方正大标宋_GBK" w:eastAsia="方正大标宋_GBK" w:cs="方正大标宋_GBK"/>
          <w:i w:val="0"/>
          <w:caps w:val="0"/>
          <w:color w:val="000000"/>
          <w:spacing w:val="0"/>
          <w:sz w:val="44"/>
          <w:szCs w:val="44"/>
          <w:lang w:val="en-US" w:eastAsia="zh-CN"/>
        </w:rPr>
      </w:pPr>
    </w:p>
    <w:p>
      <w:pPr>
        <w:spacing w:line="1400" w:lineRule="exact"/>
        <w:jc w:val="distribute"/>
        <w:rPr>
          <w:rFonts w:hint="eastAsia" w:ascii="Times New Roman" w:hAnsi="Times New Roman" w:eastAsia="方正小标宋_GBK" w:cs="Times New Roman"/>
          <w:b/>
          <w:color w:val="FF0000"/>
          <w:spacing w:val="-20"/>
          <w:w w:val="50"/>
          <w:sz w:val="130"/>
          <w:szCs w:val="84"/>
        </w:rPr>
      </w:pPr>
      <w:r>
        <w:rPr>
          <w:rFonts w:hint="eastAsia" w:ascii="Times New Roman" w:hAnsi="Times New Roman" w:eastAsia="方正小标宋_GBK" w:cs="Times New Roman"/>
          <w:b/>
          <w:color w:val="FF0000"/>
          <w:spacing w:val="-20"/>
          <w:w w:val="50"/>
          <w:sz w:val="130"/>
          <w:szCs w:val="84"/>
        </w:rPr>
        <w:t>淮安市法学会</w:t>
      </w:r>
    </w:p>
    <w:p>
      <w:pPr>
        <w:spacing w:line="720" w:lineRule="exact"/>
        <w:jc w:val="center"/>
        <w:rPr>
          <w:rFonts w:ascii="方正小标宋_GBK" w:eastAsia="方正小标宋_GBK"/>
          <w:sz w:val="44"/>
          <w:szCs w:val="44"/>
        </w:rPr>
      </w:pPr>
      <w:r>
        <w:rPr>
          <w:rFonts w:ascii="方正小标宋_GBK" w:eastAsia="方正小标宋_GBK"/>
          <w:sz w:val="44"/>
          <w:szCs w:val="44"/>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294640</wp:posOffset>
                </wp:positionV>
                <wp:extent cx="5615940" cy="0"/>
                <wp:effectExtent l="0" t="0" r="0" b="0"/>
                <wp:wrapNone/>
                <wp:docPr id="4" name="直线 5"/>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3pt;margin-top:23.2pt;height:0pt;width:442.2pt;z-index:-251658240;mso-width-relative:page;mso-height-relative:page;" filled="f" stroked="t" coordsize="21600,21600" o:gfxdata="UEsDBAoAAAAAAIdO4kAAAAAAAAAAAAAAAAAEAAAAZHJzL1BLAwQUAAAACACHTuJAz9Th/9MAAAAG&#10;AQAADwAAAGRycy9kb3ducmV2LnhtbE2PzU7DMBCE70i8g7VI3KgT1FpRiNMDCCS4USiImxtv4gh7&#10;HcXuD2/PIg5wnJ3RzLfN+hS8OOCcxkgaykUBAqmLdqRBw+vL/VUFImVD1vhIqOELE6zb87PG1DYe&#10;6RkPmzwILqFUGw0u56mWMnUOg0mLOCGx18c5mMxyHqSdzZHLg5fXRaFkMCPxgjMT3jrsPjf7oOHx&#10;Dbd2+/F0t4relv37g0q9U1pfXpTFDYiMp/wXhh98RoeWmXZxTzYJr0FxTsNSLUGwW1Ur/mz3e5Bt&#10;I//jt99QSwMEFAAAAAgAh07iQC9tn4LrAQAA3AMAAA4AAABkcnMvZTJvRG9jLnhtbK1TS27bMBDd&#10;F+gdCO5ryYYdtILlLOK6myI10PYAY5KSCPAHDm3ZZ8k1ssqmx8k1OpQcp003XlQLasgZvpn3Zri8&#10;PVrDDiqi9q7m00nJmXLCS+3amv/8sfnwkTNM4CQY71TNTwr57er9u2UfKjXznTdSRUYgDqs+1LxL&#10;KVRFgaJTFnDig3LkbHy0kGgb20JG6AndmmJWljdF76MM0QuFSKfr0cnPiPEaQN80Wqi1F3urXBpR&#10;ozKQiBJ2OiBfDdU2jRLpW9OgSszUnJimYaUkZO/yWqyWULURQqfFuQS4poQ3nCxoR0kvUGtIwPZR&#10;/wNltYgefZMmwttiJDIoQiym5RttvncQ1MCFpMZwER3/H6y4P2wj07Lmc84cWGr488Pj89Mvtsja&#10;9AErCrlz23jeYdjGTPTYRJv/RIEdBz1PFz3VMTFBh4ub6eLTnKQWL77i9WKImL4ob1k2am60y1Sh&#10;gsNXTJSMQl9C8rFxrK/5bDEvMx7Q4DXUcDJtoOLRtcNl9EbLjTYmX8HY7u5MZAeg5m82JX2ZEwH/&#10;FZazrAG7MW5wjWPRKZCfnWTpFEgWR6+B5xqskpwZRY8nWwQIVQJtromk1MZRBVnWUchs7bw8URP2&#10;Ieq2IymmQ5XZQ00f6j0PaJ6qP/cD0uuj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9Th/9MA&#10;AAAGAQAADwAAAAAAAAABACAAAAAiAAAAZHJzL2Rvd25yZXYueG1sUEsBAhQAFAAAAAgAh07iQC9t&#10;n4LrAQAA3AMAAA4AAAAAAAAAAQAgAAAAIgEAAGRycy9lMm9Eb2MueG1sUEsFBgAAAAAGAAYAWQEA&#10;AH8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b/>
          <w:bCs/>
          <w:lang w:val="en-US"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方正大标宋_GBK" w:hAnsi="方正大标宋_GBK" w:eastAsia="方正大标宋_GBK" w:cs="方正大标宋_GBK"/>
          <w:b w:val="0"/>
          <w:bCs/>
          <w:i w:val="0"/>
          <w:caps w:val="0"/>
          <w:color w:val="000000"/>
          <w:spacing w:val="0"/>
          <w:sz w:val="44"/>
          <w:szCs w:val="44"/>
        </w:rPr>
      </w:pPr>
      <w:r>
        <w:rPr>
          <w:rFonts w:hint="eastAsia" w:ascii="方正大标宋_GBK" w:hAnsi="方正大标宋_GBK" w:eastAsia="方正大标宋_GBK" w:cs="方正大标宋_GBK"/>
          <w:b w:val="0"/>
          <w:bCs/>
          <w:i w:val="0"/>
          <w:caps w:val="0"/>
          <w:color w:val="000000"/>
          <w:spacing w:val="0"/>
          <w:sz w:val="44"/>
          <w:szCs w:val="44"/>
          <w:lang w:val="en-US" w:eastAsia="zh-CN"/>
        </w:rPr>
        <w:t>淮安市法学会2020</w:t>
      </w:r>
      <w:r>
        <w:rPr>
          <w:rFonts w:hint="eastAsia" w:ascii="方正大标宋_GBK" w:hAnsi="方正大标宋_GBK" w:eastAsia="方正大标宋_GBK" w:cs="方正大标宋_GBK"/>
          <w:b w:val="0"/>
          <w:bCs/>
          <w:i w:val="0"/>
          <w:caps w:val="0"/>
          <w:color w:val="000000"/>
          <w:spacing w:val="0"/>
          <w:sz w:val="44"/>
          <w:szCs w:val="44"/>
        </w:rPr>
        <w:t>年度法学研究课题</w:t>
      </w:r>
      <w:bookmarkStart w:id="0" w:name="baidusnap5"/>
      <w:bookmarkEnd w:id="0"/>
      <w:r>
        <w:rPr>
          <w:rFonts w:hint="eastAsia" w:ascii="方正大标宋_GBK" w:hAnsi="方正大标宋_GBK" w:eastAsia="方正大标宋_GBK" w:cs="方正大标宋_GBK"/>
          <w:b w:val="0"/>
          <w:bCs/>
          <w:i w:val="0"/>
          <w:caps w:val="0"/>
          <w:color w:val="000000"/>
          <w:spacing w:val="0"/>
          <w:sz w:val="44"/>
          <w:szCs w:val="44"/>
        </w:rPr>
        <w:t>结项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rPr>
          <w:rFonts w:hint="eastAsia" w:ascii="方正大标宋_GBK" w:hAnsi="方正大标宋_GBK" w:eastAsia="方正大标宋_GBK" w:cs="方正大标宋_GBK"/>
          <w:i w:val="0"/>
          <w:caps w:val="0"/>
          <w:color w:val="000000"/>
          <w:spacing w:val="0"/>
          <w:sz w:val="44"/>
          <w:szCs w:val="44"/>
          <w:lang w:val="en-US"/>
        </w:rPr>
      </w:pPr>
      <w:r>
        <w:rPr>
          <w:rFonts w:hint="eastAsia" w:ascii="方正大标宋_GBK" w:hAnsi="方正大标宋_GBK" w:eastAsia="方正大标宋_GBK" w:cs="方正大标宋_GBK"/>
          <w:b w:val="0"/>
          <w:bCs/>
          <w:i w:val="0"/>
          <w:caps w:val="0"/>
          <w:color w:val="000000"/>
          <w:spacing w:val="0"/>
          <w:sz w:val="44"/>
          <w:szCs w:val="44"/>
          <w:lang w:val="en-US" w:eastAsia="zh-CN"/>
        </w:rPr>
        <w:t>鉴定结果公告</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i w:val="0"/>
          <w:caps w:val="0"/>
          <w:color w:val="000000"/>
          <w:spacing w:val="0"/>
          <w:sz w:val="32"/>
          <w:szCs w:val="32"/>
          <w:lang w:val="en-US" w:eastAsia="zh-CN"/>
        </w:rPr>
        <w:t>2020年度淮安市法学会法学研究课题结项工作已于近日顺利结束，</w:t>
      </w:r>
      <w:r>
        <w:rPr>
          <w:rFonts w:hint="default" w:ascii="Times New Roman" w:hAnsi="Times New Roman" w:eastAsia="方正仿宋_GBK" w:cs="Times New Roman"/>
          <w:b w:val="0"/>
          <w:i w:val="0"/>
          <w:caps w:val="0"/>
          <w:color w:val="000000"/>
          <w:spacing w:val="0"/>
          <w:sz w:val="32"/>
          <w:szCs w:val="32"/>
          <w:lang w:val="en-US" w:eastAsia="zh-CN"/>
        </w:rPr>
        <w:t>经市法学会</w:t>
      </w:r>
      <w:r>
        <w:rPr>
          <w:rFonts w:hint="default" w:ascii="Times New Roman" w:hAnsi="Times New Roman" w:eastAsia="方正仿宋_GBK" w:cs="Times New Roman"/>
          <w:sz w:val="32"/>
          <w:szCs w:val="32"/>
          <w:lang w:val="en-US" w:eastAsia="zh-CN"/>
        </w:rPr>
        <w:t>学术委员会评审、会长办公</w:t>
      </w:r>
      <w:r>
        <w:rPr>
          <w:rFonts w:hint="eastAsia" w:ascii="Times New Roman" w:hAnsi="Times New Roman" w:eastAsia="方正仿宋_GBK" w:cs="Times New Roman"/>
          <w:sz w:val="32"/>
          <w:szCs w:val="32"/>
          <w:lang w:val="en-US" w:eastAsia="zh-CN"/>
        </w:rPr>
        <w:t>会</w:t>
      </w:r>
      <w:r>
        <w:rPr>
          <w:rFonts w:hint="default" w:ascii="Times New Roman" w:hAnsi="Times New Roman" w:eastAsia="方正仿宋_GBK" w:cs="Times New Roman"/>
          <w:sz w:val="32"/>
          <w:szCs w:val="32"/>
          <w:lang w:val="en-US" w:eastAsia="zh-CN"/>
        </w:rPr>
        <w:t>审议同意，</w:t>
      </w:r>
      <w:r>
        <w:rPr>
          <w:rFonts w:hint="eastAsia" w:ascii="Times New Roman" w:hAnsi="Times New Roman" w:eastAsia="方正仿宋_GBK" w:cs="Times New Roman"/>
          <w:sz w:val="32"/>
          <w:szCs w:val="32"/>
          <w:lang w:val="en-US" w:eastAsia="zh-CN"/>
        </w:rPr>
        <w:t>最终确定</w:t>
      </w:r>
      <w:r>
        <w:rPr>
          <w:rFonts w:hint="default"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lang w:val="en-US" w:eastAsia="zh-CN"/>
        </w:rPr>
        <w:t>认罪认罚制度下的证据研究</w:t>
      </w:r>
      <w:r>
        <w:rPr>
          <w:rFonts w:hint="default" w:ascii="Times New Roman" w:hAnsi="Times New Roman" w:eastAsia="方正仿宋_GBK" w:cs="Times New Roman"/>
          <w:sz w:val="32"/>
          <w:szCs w:val="32"/>
          <w:lang w:val="en-US" w:eastAsia="zh-CN"/>
        </w:rPr>
        <w:t>》等</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项成果鉴定</w:t>
      </w:r>
      <w:r>
        <w:rPr>
          <w:rFonts w:hint="eastAsia" w:ascii="Times New Roman" w:hAnsi="Times New Roman" w:eastAsia="方正仿宋_GBK" w:cs="Times New Roman"/>
          <w:sz w:val="32"/>
          <w:szCs w:val="32"/>
          <w:lang w:val="en-US" w:eastAsia="zh-CN"/>
        </w:rPr>
        <w:t>等次</w:t>
      </w:r>
      <w:r>
        <w:rPr>
          <w:rFonts w:hint="default" w:ascii="Times New Roman" w:hAnsi="Times New Roman" w:eastAsia="方正仿宋_GBK" w:cs="Times New Roman"/>
          <w:sz w:val="32"/>
          <w:szCs w:val="32"/>
          <w:lang w:val="en-US" w:eastAsia="zh-CN"/>
        </w:rPr>
        <w:t>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优秀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应急管理状态下执法司法的效率性与正当性研究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i w:val="0"/>
          <w:caps w:val="0"/>
          <w:color w:val="000000"/>
          <w:spacing w:val="0"/>
          <w:sz w:val="32"/>
          <w:szCs w:val="32"/>
          <w:lang w:val="en-US" w:eastAsia="zh-CN"/>
        </w:rPr>
        <w:t>等</w:t>
      </w:r>
      <w:r>
        <w:rPr>
          <w:rFonts w:hint="eastAsia" w:ascii="Times New Roman" w:hAnsi="Times New Roman" w:eastAsia="方正仿宋_GBK" w:cs="Times New Roman"/>
          <w:b w:val="0"/>
          <w:i w:val="0"/>
          <w:caps w:val="0"/>
          <w:color w:val="000000"/>
          <w:spacing w:val="0"/>
          <w:sz w:val="32"/>
          <w:szCs w:val="32"/>
          <w:lang w:val="en-US" w:eastAsia="zh-CN"/>
        </w:rPr>
        <w:t>28</w:t>
      </w:r>
      <w:r>
        <w:rPr>
          <w:rFonts w:hint="default" w:ascii="Times New Roman" w:hAnsi="Times New Roman" w:eastAsia="方正仿宋_GBK" w:cs="Times New Roman"/>
          <w:b w:val="0"/>
          <w:i w:val="0"/>
          <w:caps w:val="0"/>
          <w:color w:val="000000"/>
          <w:spacing w:val="0"/>
          <w:sz w:val="32"/>
          <w:szCs w:val="32"/>
          <w:lang w:val="en-US" w:eastAsia="zh-CN"/>
        </w:rPr>
        <w:t>项成果鉴定</w:t>
      </w:r>
      <w:r>
        <w:rPr>
          <w:rFonts w:hint="eastAsia" w:ascii="Times New Roman" w:hAnsi="Times New Roman" w:eastAsia="方正仿宋_GBK" w:cs="Times New Roman"/>
          <w:sz w:val="32"/>
          <w:szCs w:val="32"/>
          <w:lang w:val="en-US" w:eastAsia="zh-CN"/>
        </w:rPr>
        <w:t>等次</w:t>
      </w:r>
      <w:r>
        <w:rPr>
          <w:rFonts w:hint="default" w:ascii="Times New Roman" w:hAnsi="Times New Roman" w:eastAsia="方正仿宋_GBK" w:cs="Times New Roman"/>
          <w:b w:val="0"/>
          <w:i w:val="0"/>
          <w:caps w:val="0"/>
          <w:color w:val="000000"/>
          <w:spacing w:val="0"/>
          <w:sz w:val="32"/>
          <w:szCs w:val="32"/>
          <w:lang w:val="en-US" w:eastAsia="zh-CN"/>
        </w:rPr>
        <w:t>为</w:t>
      </w:r>
      <w:r>
        <w:rPr>
          <w:rFonts w:hint="eastAsia" w:ascii="Times New Roman" w:hAnsi="Times New Roman" w:eastAsia="方正仿宋_GBK" w:cs="Times New Roman"/>
          <w:b w:val="0"/>
          <w:i w:val="0"/>
          <w:caps w:val="0"/>
          <w:color w:val="000000"/>
          <w:spacing w:val="0"/>
          <w:sz w:val="32"/>
          <w:szCs w:val="32"/>
          <w:lang w:val="en-US" w:eastAsia="zh-CN"/>
        </w:rPr>
        <w:t>“</w:t>
      </w:r>
      <w:r>
        <w:rPr>
          <w:rFonts w:hint="default" w:ascii="Times New Roman" w:hAnsi="Times New Roman" w:eastAsia="方正仿宋_GBK" w:cs="Times New Roman"/>
          <w:b w:val="0"/>
          <w:i w:val="0"/>
          <w:caps w:val="0"/>
          <w:color w:val="000000"/>
          <w:spacing w:val="0"/>
          <w:sz w:val="32"/>
          <w:szCs w:val="32"/>
          <w:lang w:val="en-US" w:eastAsia="zh-CN"/>
        </w:rPr>
        <w:t>良好</w:t>
      </w:r>
      <w:r>
        <w:rPr>
          <w:rFonts w:hint="eastAsia" w:ascii="Times New Roman" w:hAnsi="Times New Roman" w:eastAsia="方正仿宋_GBK" w:cs="Times New Roman"/>
          <w:b w:val="0"/>
          <w:i w:val="0"/>
          <w:caps w:val="0"/>
          <w:color w:val="000000"/>
          <w:spacing w:val="0"/>
          <w:sz w:val="32"/>
          <w:szCs w:val="32"/>
          <w:lang w:val="en-US" w:eastAsia="zh-CN"/>
        </w:rPr>
        <w:t>”</w:t>
      </w:r>
      <w:r>
        <w:rPr>
          <w:rFonts w:hint="default" w:ascii="Times New Roman" w:hAnsi="Times New Roman" w:eastAsia="方正仿宋_GBK" w:cs="Times New Roman"/>
          <w:b w:val="0"/>
          <w:i w:val="0"/>
          <w:caps w:val="0"/>
          <w:color w:val="000000"/>
          <w:spacing w:val="0"/>
          <w:sz w:val="32"/>
          <w:szCs w:val="32"/>
          <w:lang w:val="en-US" w:eastAsia="zh-CN"/>
        </w:rPr>
        <w:t>，</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企业刑事合规检察监督研究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i w:val="0"/>
          <w:caps w:val="0"/>
          <w:color w:val="000000"/>
          <w:spacing w:val="0"/>
          <w:sz w:val="32"/>
          <w:szCs w:val="32"/>
          <w:lang w:val="en-US" w:eastAsia="zh-CN"/>
        </w:rPr>
        <w:t>等</w:t>
      </w:r>
      <w:r>
        <w:rPr>
          <w:rFonts w:hint="eastAsia" w:ascii="Times New Roman" w:hAnsi="Times New Roman" w:eastAsia="方正仿宋_GBK" w:cs="Times New Roman"/>
          <w:b w:val="0"/>
          <w:i w:val="0"/>
          <w:caps w:val="0"/>
          <w:color w:val="000000"/>
          <w:spacing w:val="0"/>
          <w:sz w:val="32"/>
          <w:szCs w:val="32"/>
          <w:lang w:val="en-US" w:eastAsia="zh-CN"/>
        </w:rPr>
        <w:t>28</w:t>
      </w:r>
      <w:r>
        <w:rPr>
          <w:rFonts w:hint="default" w:ascii="Times New Roman" w:hAnsi="Times New Roman" w:eastAsia="方正仿宋_GBK" w:cs="Times New Roman"/>
          <w:b w:val="0"/>
          <w:i w:val="0"/>
          <w:caps w:val="0"/>
          <w:color w:val="000000"/>
          <w:spacing w:val="0"/>
          <w:sz w:val="32"/>
          <w:szCs w:val="32"/>
          <w:lang w:val="en-US" w:eastAsia="zh-CN"/>
        </w:rPr>
        <w:t>项成果鉴定</w:t>
      </w:r>
      <w:r>
        <w:rPr>
          <w:rFonts w:hint="eastAsia" w:ascii="Times New Roman" w:hAnsi="Times New Roman" w:eastAsia="方正仿宋_GBK" w:cs="Times New Roman"/>
          <w:sz w:val="32"/>
          <w:szCs w:val="32"/>
          <w:lang w:val="en-US" w:eastAsia="zh-CN"/>
        </w:rPr>
        <w:t>等次</w:t>
      </w:r>
      <w:r>
        <w:rPr>
          <w:rFonts w:hint="default" w:ascii="Times New Roman" w:hAnsi="Times New Roman" w:eastAsia="方正仿宋_GBK" w:cs="Times New Roman"/>
          <w:b w:val="0"/>
          <w:i w:val="0"/>
          <w:caps w:val="0"/>
          <w:color w:val="000000"/>
          <w:spacing w:val="0"/>
          <w:sz w:val="32"/>
          <w:szCs w:val="32"/>
          <w:lang w:val="en-US" w:eastAsia="zh-CN"/>
        </w:rPr>
        <w:t>为</w:t>
      </w:r>
      <w:r>
        <w:rPr>
          <w:rFonts w:hint="eastAsia" w:ascii="Times New Roman" w:hAnsi="Times New Roman" w:eastAsia="方正仿宋_GBK" w:cs="Times New Roman"/>
          <w:b w:val="0"/>
          <w:i w:val="0"/>
          <w:caps w:val="0"/>
          <w:color w:val="000000"/>
          <w:spacing w:val="0"/>
          <w:sz w:val="32"/>
          <w:szCs w:val="32"/>
          <w:lang w:val="en-US" w:eastAsia="zh-CN"/>
        </w:rPr>
        <w:t>“</w:t>
      </w:r>
      <w:r>
        <w:rPr>
          <w:rFonts w:hint="default" w:ascii="Times New Roman" w:hAnsi="Times New Roman" w:eastAsia="方正仿宋_GBK" w:cs="Times New Roman"/>
          <w:b w:val="0"/>
          <w:i w:val="0"/>
          <w:caps w:val="0"/>
          <w:color w:val="000000"/>
          <w:spacing w:val="0"/>
          <w:sz w:val="32"/>
          <w:szCs w:val="32"/>
          <w:lang w:val="en-US" w:eastAsia="zh-CN"/>
        </w:rPr>
        <w:t>合格</w:t>
      </w:r>
      <w:r>
        <w:rPr>
          <w:rFonts w:hint="eastAsia" w:ascii="Times New Roman" w:hAnsi="Times New Roman" w:eastAsia="方正仿宋_GBK" w:cs="Times New Roman"/>
          <w:b w:val="0"/>
          <w:i w:val="0"/>
          <w:caps w:val="0"/>
          <w:color w:val="000000"/>
          <w:spacing w:val="0"/>
          <w:sz w:val="32"/>
          <w:szCs w:val="32"/>
          <w:lang w:val="en-US" w:eastAsia="zh-CN"/>
        </w:rPr>
        <w:t>”</w:t>
      </w:r>
      <w:r>
        <w:rPr>
          <w:rFonts w:hint="default" w:ascii="Times New Roman" w:hAnsi="Times New Roman" w:eastAsia="方正仿宋_GBK" w:cs="Times New Roman"/>
          <w:b w:val="0"/>
          <w:i w:val="0"/>
          <w:caps w:val="0"/>
          <w:color w:val="000000"/>
          <w:spacing w:val="0"/>
          <w:sz w:val="32"/>
          <w:szCs w:val="32"/>
          <w:lang w:val="en-US" w:eastAsia="zh-CN"/>
        </w:rPr>
        <w:t>。</w:t>
      </w:r>
      <w:r>
        <w:rPr>
          <w:rFonts w:hint="eastAsia" w:ascii="Times New Roman" w:hAnsi="Times New Roman" w:eastAsia="方正仿宋_GBK" w:cs="Times New Roman"/>
          <w:b w:val="0"/>
          <w:i w:val="0"/>
          <w:caps w:val="0"/>
          <w:color w:val="000000"/>
          <w:spacing w:val="0"/>
          <w:sz w:val="32"/>
          <w:szCs w:val="32"/>
          <w:lang w:val="en-US" w:eastAsia="zh-CN"/>
        </w:rPr>
        <w:t>现予以公</w:t>
      </w:r>
      <w:r>
        <w:rPr>
          <w:rFonts w:hint="eastAsia" w:ascii="Times New Roman" w:hAnsi="Times New Roman" w:eastAsia="方正仿宋_GBK" w:cs="Times New Roman"/>
          <w:sz w:val="32"/>
          <w:szCs w:val="32"/>
          <w:lang w:val="en-US" w:eastAsia="zh-CN"/>
        </w:rPr>
        <w:t xml:space="preserve">布。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我会将于近期向结项课题主持人寄发结项证书，并按照规定拨付课题经费。请各课题组严格按照《淮安市法学会法学研究课题经费管理暂行办法》（</w:t>
      </w:r>
      <w:r>
        <w:rPr>
          <w:rFonts w:hint="default" w:ascii="Times New Roman" w:hAnsi="Times New Roman" w:eastAsia="方正仿宋_GBK" w:cs="Times New Roman"/>
          <w:sz w:val="32"/>
          <w:szCs w:val="32"/>
        </w:rPr>
        <w:t>淮法学﹝2018﹞21号</w:t>
      </w:r>
      <w:r>
        <w:rPr>
          <w:rFonts w:hint="eastAsia" w:ascii="Times New Roman" w:hAnsi="Times New Roman" w:eastAsia="方正仿宋_GBK" w:cs="Times New Roman"/>
          <w:sz w:val="32"/>
          <w:szCs w:val="32"/>
          <w:lang w:val="en-US" w:eastAsia="zh-CN"/>
        </w:rPr>
        <w:t>）规定使用课题资助经费。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textAlignment w:val="auto"/>
        <w:outlineLvl w:val="9"/>
        <w:rPr>
          <w:rFonts w:hint="default" w:ascii="Times New Roman" w:hAnsi="Times New Roman" w:eastAsia="方正仿宋_GBK" w:cs="Times New Roman"/>
          <w:b w:val="0"/>
          <w:i w:val="0"/>
          <w:caps w:val="0"/>
          <w:color w:val="000000"/>
          <w:spacing w:val="0"/>
          <w:sz w:val="32"/>
          <w:szCs w:val="32"/>
          <w:lang w:val="en-US" w:eastAsia="zh-CN"/>
        </w:rPr>
      </w:pPr>
      <w:r>
        <w:rPr>
          <w:rFonts w:hint="eastAsia" w:ascii="Times New Roman" w:hAnsi="Times New Roman" w:eastAsia="方正仿宋_GBK" w:cs="Times New Roman"/>
          <w:sz w:val="32"/>
          <w:szCs w:val="32"/>
          <w:lang w:val="en-US" w:eastAsia="zh-CN"/>
        </w:rPr>
        <w:t>附件：淮安市法学会2020年度法学研究课题结项鉴定结果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center"/>
        <w:textAlignment w:val="auto"/>
        <w:outlineLvl w:val="9"/>
        <w:rPr>
          <w:rFonts w:hint="default" w:ascii="Times New Roman" w:hAnsi="Times New Roman" w:eastAsia="方正仿宋_GBK" w:cs="Times New Roman"/>
          <w:b w:val="0"/>
          <w:i w:val="0"/>
          <w:caps w:val="0"/>
          <w:color w:val="000000"/>
          <w:spacing w:val="0"/>
          <w:sz w:val="32"/>
          <w:szCs w:val="32"/>
          <w:lang w:val="en-US" w:eastAsia="zh-CN"/>
        </w:rPr>
      </w:pPr>
      <w:r>
        <w:rPr>
          <w:rFonts w:hint="default" w:ascii="Times New Roman" w:hAnsi="Times New Roman" w:eastAsia="方正仿宋_GBK" w:cs="Times New Roman"/>
          <w:b w:val="0"/>
          <w:i w:val="0"/>
          <w:caps w:val="0"/>
          <w:color w:val="000000"/>
          <w:spacing w:val="0"/>
          <w:sz w:val="32"/>
          <w:szCs w:val="32"/>
          <w:lang w:val="en-US" w:eastAsia="zh-CN"/>
        </w:rPr>
        <w:t xml:space="preserve">                            淮安市法学会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center"/>
        <w:textAlignment w:val="auto"/>
        <w:outlineLvl w:val="9"/>
        <w:rPr>
          <w:rFonts w:hint="default" w:ascii="Times New Roman" w:hAnsi="Times New Roman" w:eastAsia="方正仿宋_GBK" w:cs="Times New Roman"/>
          <w:b w:val="0"/>
          <w:i w:val="0"/>
          <w:caps w:val="0"/>
          <w:color w:val="000000"/>
          <w:spacing w:val="0"/>
          <w:sz w:val="32"/>
          <w:szCs w:val="32"/>
          <w:lang w:val="en-US" w:eastAsia="zh-CN"/>
        </w:rPr>
        <w:sectPr>
          <w:footerReference r:id="rId3" w:type="default"/>
          <w:footerReference r:id="rId4" w:type="even"/>
          <w:pgSz w:w="11906" w:h="16838"/>
          <w:pgMar w:top="1440" w:right="1780" w:bottom="1440" w:left="178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方正仿宋_GBK" w:cs="Times New Roman"/>
          <w:b w:val="0"/>
          <w:i w:val="0"/>
          <w:caps w:val="0"/>
          <w:color w:val="000000"/>
          <w:spacing w:val="0"/>
          <w:sz w:val="32"/>
          <w:szCs w:val="32"/>
          <w:lang w:val="en-US" w:eastAsia="zh-CN"/>
        </w:rPr>
        <w:t xml:space="preserve">                            20</w:t>
      </w:r>
      <w:r>
        <w:rPr>
          <w:rFonts w:hint="eastAsia" w:ascii="Times New Roman" w:hAnsi="Times New Roman" w:eastAsia="方正仿宋_GBK" w:cs="Times New Roman"/>
          <w:b w:val="0"/>
          <w:i w:val="0"/>
          <w:caps w:val="0"/>
          <w:color w:val="000000"/>
          <w:spacing w:val="0"/>
          <w:sz w:val="32"/>
          <w:szCs w:val="32"/>
          <w:lang w:val="en-US" w:eastAsia="zh-CN"/>
        </w:rPr>
        <w:t>20</w:t>
      </w:r>
      <w:r>
        <w:rPr>
          <w:rFonts w:hint="default" w:ascii="Times New Roman" w:hAnsi="Times New Roman" w:eastAsia="方正仿宋_GBK" w:cs="Times New Roman"/>
          <w:b w:val="0"/>
          <w:i w:val="0"/>
          <w:caps w:val="0"/>
          <w:color w:val="000000"/>
          <w:spacing w:val="0"/>
          <w:sz w:val="32"/>
          <w:szCs w:val="32"/>
          <w:lang w:val="en-US" w:eastAsia="zh-CN"/>
        </w:rPr>
        <w:t>年</w:t>
      </w:r>
      <w:r>
        <w:rPr>
          <w:rFonts w:hint="eastAsia" w:ascii="Times New Roman" w:hAnsi="Times New Roman" w:eastAsia="方正仿宋_GBK" w:cs="Times New Roman"/>
          <w:b w:val="0"/>
          <w:i w:val="0"/>
          <w:caps w:val="0"/>
          <w:color w:val="000000"/>
          <w:spacing w:val="0"/>
          <w:sz w:val="32"/>
          <w:szCs w:val="32"/>
          <w:lang w:val="en-US" w:eastAsia="zh-CN"/>
        </w:rPr>
        <w:t>12</w:t>
      </w:r>
      <w:r>
        <w:rPr>
          <w:rFonts w:hint="default" w:ascii="Times New Roman" w:hAnsi="Times New Roman" w:eastAsia="方正仿宋_GBK" w:cs="Times New Roman"/>
          <w:b w:val="0"/>
          <w:i w:val="0"/>
          <w:caps w:val="0"/>
          <w:color w:val="000000"/>
          <w:spacing w:val="0"/>
          <w:sz w:val="32"/>
          <w:szCs w:val="32"/>
          <w:lang w:val="en-US" w:eastAsia="zh-CN"/>
        </w:rPr>
        <w:t>月</w:t>
      </w:r>
      <w:r>
        <w:rPr>
          <w:rFonts w:hint="eastAsia" w:ascii="Times New Roman" w:hAnsi="Times New Roman" w:eastAsia="方正仿宋_GBK" w:cs="Times New Roman"/>
          <w:b w:val="0"/>
          <w:i w:val="0"/>
          <w:caps w:val="0"/>
          <w:color w:val="000000"/>
          <w:spacing w:val="0"/>
          <w:sz w:val="32"/>
          <w:szCs w:val="32"/>
          <w:lang w:val="en-US" w:eastAsia="zh-CN"/>
        </w:rPr>
        <w:t>21</w:t>
      </w:r>
      <w:r>
        <w:rPr>
          <w:rFonts w:hint="default" w:ascii="Times New Roman" w:hAnsi="Times New Roman" w:eastAsia="方正仿宋_GBK" w:cs="Times New Roman"/>
          <w:b w:val="0"/>
          <w:i w:val="0"/>
          <w:caps w:val="0"/>
          <w:color w:val="000000"/>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right="0" w:rightChars="0"/>
        <w:jc w:val="both"/>
        <w:textAlignment w:val="auto"/>
        <w:outlineLvl w:val="9"/>
        <w:rPr>
          <w:rFonts w:hint="eastAsia" w:ascii="方正黑体_GBK" w:hAnsi="方正黑体_GBK" w:eastAsia="方正黑体_GBK" w:cs="方正黑体_GBK"/>
          <w:b w:val="0"/>
          <w:i w:val="0"/>
          <w:caps w:val="0"/>
          <w:color w:val="000000"/>
          <w:spacing w:val="0"/>
          <w:sz w:val="32"/>
          <w:szCs w:val="32"/>
          <w:lang w:val="en-US" w:eastAsia="zh-CN"/>
        </w:rPr>
      </w:pPr>
      <w:r>
        <w:rPr>
          <w:rFonts w:hint="eastAsia" w:ascii="方正黑体_GBK" w:hAnsi="方正黑体_GBK" w:eastAsia="方正黑体_GBK" w:cs="方正黑体_GBK"/>
          <w:b w:val="0"/>
          <w:i w:val="0"/>
          <w:caps w:val="0"/>
          <w:color w:val="000000"/>
          <w:spacing w:val="0"/>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right="0" w:rightChars="0"/>
        <w:jc w:val="both"/>
        <w:textAlignment w:val="auto"/>
        <w:outlineLvl w:val="9"/>
        <w:rPr>
          <w:rFonts w:hint="default" w:ascii="方正黑体_GBK" w:hAnsi="方正黑体_GBK" w:eastAsia="方正黑体_GBK" w:cs="方正黑体_GBK"/>
          <w:b w:val="0"/>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right="0" w:rightChars="0"/>
        <w:jc w:val="center"/>
        <w:textAlignment w:val="auto"/>
        <w:outlineLvl w:val="9"/>
        <w:rPr>
          <w:rFonts w:hint="eastAsia" w:ascii="方正大标宋_GBK" w:hAnsi="方正大标宋_GBK" w:eastAsia="方正大标宋_GBK" w:cs="方正大标宋_GBK"/>
          <w:b w:val="0"/>
          <w:i w:val="0"/>
          <w:caps w:val="0"/>
          <w:color w:val="000000"/>
          <w:spacing w:val="0"/>
          <w:sz w:val="44"/>
          <w:szCs w:val="44"/>
          <w:lang w:val="en-US" w:eastAsia="zh-CN"/>
        </w:rPr>
      </w:pPr>
      <w:r>
        <w:rPr>
          <w:rFonts w:hint="eastAsia" w:ascii="方正大标宋_GBK" w:hAnsi="方正大标宋_GBK" w:eastAsia="方正大标宋_GBK" w:cs="方正大标宋_GBK"/>
          <w:b w:val="0"/>
          <w:i w:val="0"/>
          <w:caps w:val="0"/>
          <w:color w:val="000000"/>
          <w:spacing w:val="0"/>
          <w:sz w:val="44"/>
          <w:szCs w:val="44"/>
          <w:lang w:val="en-US" w:eastAsia="zh-CN"/>
        </w:rPr>
        <w:t>淮安市法学会2020年度法学研究课题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right="0" w:rightChars="0"/>
        <w:jc w:val="center"/>
        <w:textAlignment w:val="auto"/>
        <w:outlineLvl w:val="9"/>
        <w:rPr>
          <w:rFonts w:hint="eastAsia" w:ascii="方正大标宋_GBK" w:hAnsi="方正大标宋_GBK" w:eastAsia="方正大标宋_GBK" w:cs="方正大标宋_GBK"/>
          <w:b w:val="0"/>
          <w:i w:val="0"/>
          <w:caps w:val="0"/>
          <w:color w:val="000000"/>
          <w:spacing w:val="0"/>
          <w:sz w:val="44"/>
          <w:szCs w:val="44"/>
          <w:lang w:val="en-US" w:eastAsia="zh-CN"/>
        </w:rPr>
      </w:pPr>
      <w:r>
        <w:rPr>
          <w:rFonts w:hint="eastAsia" w:ascii="方正大标宋_GBK" w:hAnsi="方正大标宋_GBK" w:eastAsia="方正大标宋_GBK" w:cs="方正大标宋_GBK"/>
          <w:b w:val="0"/>
          <w:i w:val="0"/>
          <w:caps w:val="0"/>
          <w:color w:val="000000"/>
          <w:spacing w:val="0"/>
          <w:sz w:val="44"/>
          <w:szCs w:val="44"/>
          <w:lang w:val="en-US" w:eastAsia="zh-CN"/>
        </w:rPr>
        <w:t>结项鉴定结果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800" w:firstLineChars="200"/>
        <w:jc w:val="center"/>
        <w:textAlignment w:val="auto"/>
        <w:outlineLvl w:val="9"/>
        <w:rPr>
          <w:rFonts w:hint="eastAsia" w:ascii="方正大标宋_GBK" w:hAnsi="方正大标宋_GBK" w:eastAsia="方正大标宋_GBK" w:cs="方正大标宋_GBK"/>
          <w:b w:val="0"/>
          <w:i w:val="0"/>
          <w:caps w:val="0"/>
          <w:color w:val="000000"/>
          <w:spacing w:val="0"/>
          <w:sz w:val="40"/>
          <w:szCs w:val="40"/>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outlineLvl w:val="9"/>
        <w:rPr>
          <w:rFonts w:hint="default" w:ascii="Times New Roman" w:hAnsi="Times New Roman" w:eastAsia="方正大标宋_GBK" w:cs="Times New Roman"/>
          <w:b w:val="0"/>
          <w:i w:val="0"/>
          <w:caps w:val="0"/>
          <w:color w:val="000000"/>
          <w:spacing w:val="0"/>
          <w:sz w:val="40"/>
          <w:szCs w:val="40"/>
          <w:lang w:val="en-US" w:eastAsia="zh-CN"/>
        </w:rPr>
      </w:pPr>
      <w:r>
        <w:rPr>
          <w:rFonts w:hint="default" w:ascii="Times New Roman" w:hAnsi="Times New Roman" w:eastAsia="方正黑体_GBK" w:cs="Times New Roman"/>
          <w:bCs/>
          <w:color w:val="auto"/>
          <w:sz w:val="32"/>
          <w:szCs w:val="32"/>
          <w:lang w:val="en-US" w:eastAsia="zh-CN"/>
        </w:rPr>
        <w:t>优秀等次（</w:t>
      </w:r>
      <w:r>
        <w:rPr>
          <w:rFonts w:hint="eastAsia" w:ascii="Times New Roman" w:hAnsi="Times New Roman" w:eastAsia="方正黑体_GBK" w:cs="Times New Roman"/>
          <w:bCs/>
          <w:color w:val="auto"/>
          <w:sz w:val="32"/>
          <w:szCs w:val="32"/>
          <w:lang w:val="en-US" w:eastAsia="zh-CN"/>
        </w:rPr>
        <w:t>6</w:t>
      </w:r>
      <w:r>
        <w:rPr>
          <w:rFonts w:hint="default" w:ascii="Times New Roman" w:hAnsi="Times New Roman" w:eastAsia="方正黑体_GBK" w:cs="Times New Roman"/>
          <w:bCs/>
          <w:color w:val="auto"/>
          <w:sz w:val="32"/>
          <w:szCs w:val="32"/>
          <w:lang w:val="en-US" w:eastAsia="zh-CN"/>
        </w:rPr>
        <w:t>项）</w:t>
      </w:r>
    </w:p>
    <w:tbl>
      <w:tblPr>
        <w:tblStyle w:val="7"/>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3209"/>
        <w:gridCol w:w="1174"/>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blHeader/>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方正楷体_GBK" w:hAnsi="方正楷体_GBK" w:eastAsia="方正楷体_GBK" w:cs="方正楷体_GBK"/>
                <w:b/>
                <w:bCs w:val="0"/>
                <w:color w:val="auto"/>
                <w:kern w:val="2"/>
                <w:sz w:val="28"/>
                <w:szCs w:val="28"/>
                <w:lang w:val="en-US" w:eastAsia="zh-CN" w:bidi="ar-SA"/>
              </w:rPr>
            </w:pPr>
            <w:r>
              <w:rPr>
                <w:rFonts w:hint="eastAsia" w:ascii="方正楷体_GBK" w:hAnsi="方正楷体_GBK" w:eastAsia="方正楷体_GBK" w:cs="方正楷体_GBK"/>
                <w:b/>
                <w:bCs w:val="0"/>
                <w:color w:val="auto"/>
                <w:sz w:val="28"/>
                <w:szCs w:val="28"/>
                <w:lang w:eastAsia="zh-CN"/>
              </w:rPr>
              <w:t>课题编号</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方正楷体_GBK" w:hAnsi="方正楷体_GBK" w:eastAsia="方正楷体_GBK" w:cs="方正楷体_GBK"/>
                <w:b/>
                <w:bCs w:val="0"/>
                <w:color w:val="auto"/>
                <w:kern w:val="2"/>
                <w:sz w:val="28"/>
                <w:szCs w:val="28"/>
                <w:lang w:val="en-US" w:eastAsia="zh-CN" w:bidi="ar-SA"/>
              </w:rPr>
            </w:pPr>
            <w:r>
              <w:rPr>
                <w:rFonts w:hint="eastAsia" w:ascii="方正楷体_GBK" w:hAnsi="方正楷体_GBK" w:eastAsia="方正楷体_GBK" w:cs="方正楷体_GBK"/>
                <w:b/>
                <w:bCs w:val="0"/>
                <w:color w:val="auto"/>
                <w:sz w:val="28"/>
                <w:szCs w:val="28"/>
              </w:rPr>
              <w:t>课题名称</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方正楷体_GBK" w:hAnsi="方正楷体_GBK" w:eastAsia="方正楷体_GBK" w:cs="方正楷体_GBK"/>
                <w:b/>
                <w:bCs w:val="0"/>
                <w:color w:val="auto"/>
                <w:kern w:val="2"/>
                <w:sz w:val="28"/>
                <w:szCs w:val="28"/>
                <w:lang w:val="en-US" w:eastAsia="zh-CN" w:bidi="ar-SA"/>
              </w:rPr>
            </w:pPr>
            <w:r>
              <w:rPr>
                <w:rFonts w:hint="eastAsia" w:ascii="方正楷体_GBK" w:hAnsi="方正楷体_GBK" w:eastAsia="方正楷体_GBK" w:cs="方正楷体_GBK"/>
                <w:b/>
                <w:bCs w:val="0"/>
                <w:color w:val="auto"/>
                <w:sz w:val="28"/>
                <w:szCs w:val="28"/>
              </w:rPr>
              <w:t>主持人</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方正楷体_GBK" w:hAnsi="方正楷体_GBK" w:eastAsia="方正楷体_GBK" w:cs="方正楷体_GBK"/>
                <w:b/>
                <w:bCs w:val="0"/>
                <w:color w:val="auto"/>
                <w:kern w:val="2"/>
                <w:sz w:val="28"/>
                <w:szCs w:val="28"/>
                <w:lang w:val="en-US" w:eastAsia="zh-CN" w:bidi="ar-SA"/>
              </w:rPr>
            </w:pPr>
            <w:r>
              <w:rPr>
                <w:rFonts w:hint="eastAsia" w:ascii="方正楷体_GBK" w:hAnsi="方正楷体_GBK" w:eastAsia="方正楷体_GBK" w:cs="方正楷体_GBK"/>
                <w:b/>
                <w:bCs w:val="0"/>
                <w:color w:val="auto"/>
                <w:sz w:val="28"/>
                <w:szCs w:val="28"/>
                <w:lang w:eastAsia="zh-CN"/>
              </w:rPr>
              <w:t>工作</w:t>
            </w:r>
            <w:r>
              <w:rPr>
                <w:rFonts w:hint="eastAsia" w:ascii="方正楷体_GBK" w:hAnsi="方正楷体_GBK" w:eastAsia="方正楷体_GBK" w:cs="方正楷体_GBK"/>
                <w:b/>
                <w:bCs w:val="0"/>
                <w:color w:val="auto"/>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宋体" w:cs="Times New Roman"/>
                <w:color w:val="auto"/>
                <w:sz w:val="24"/>
                <w:lang w:eastAsia="zh-CN"/>
              </w:rPr>
            </w:pPr>
            <w:r>
              <w:rPr>
                <w:rFonts w:hint="eastAsia" w:ascii="PMingLiU-ExtB" w:hAnsi="PMingLiU-ExtB" w:eastAsia="PMingLiU-ExtB"/>
                <w:b/>
                <w:color w:val="auto"/>
                <w:sz w:val="24"/>
                <w:szCs w:val="24"/>
              </w:rPr>
              <w:t>HFH</w:t>
            </w:r>
            <w:r>
              <w:rPr>
                <w:rFonts w:hint="eastAsia" w:ascii="PMingLiU-ExtB" w:hAnsi="PMingLiU-ExtB" w:eastAsia="宋体"/>
                <w:b/>
                <w:color w:val="auto"/>
                <w:sz w:val="24"/>
                <w:szCs w:val="24"/>
                <w:lang w:eastAsia="zh-CN"/>
              </w:rPr>
              <w:t>2020</w:t>
            </w:r>
            <w:r>
              <w:rPr>
                <w:rFonts w:hint="eastAsia" w:ascii="PMingLiU-ExtB" w:hAnsi="PMingLiU-ExtB" w:eastAsia="PMingLiU-ExtB"/>
                <w:b/>
                <w:color w:val="auto"/>
                <w:sz w:val="24"/>
                <w:szCs w:val="24"/>
              </w:rPr>
              <w:t>A0</w:t>
            </w:r>
            <w:r>
              <w:rPr>
                <w:rFonts w:hint="eastAsia" w:ascii="PMingLiU-ExtB" w:hAnsi="PMingLiU-ExtB" w:eastAsia="宋体"/>
                <w:b/>
                <w:color w:val="auto"/>
                <w:sz w:val="24"/>
                <w:szCs w:val="24"/>
                <w:lang w:val="en-US" w:eastAsia="zh-CN"/>
              </w:rPr>
              <w:t>6</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认罪认罚制度下的证据研究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肖天奉</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任  远</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color w:val="auto"/>
                <w:sz w:val="21"/>
                <w:szCs w:val="21"/>
              </w:rPr>
            </w:pPr>
            <w:r>
              <w:rPr>
                <w:rFonts w:hint="eastAsia" w:ascii="PMingLiU-ExtB" w:hAnsi="PMingLiU-ExtB" w:eastAsia="PMingLiU-ExtB"/>
                <w:b/>
                <w:color w:val="auto"/>
                <w:sz w:val="24"/>
                <w:szCs w:val="24"/>
              </w:rPr>
              <w:t>HFH</w:t>
            </w:r>
            <w:r>
              <w:rPr>
                <w:rFonts w:hint="eastAsia" w:ascii="PMingLiU-ExtB" w:hAnsi="PMingLiU-ExtB" w:eastAsia="宋体"/>
                <w:b/>
                <w:color w:val="auto"/>
                <w:sz w:val="24"/>
                <w:szCs w:val="24"/>
                <w:lang w:eastAsia="zh-CN"/>
              </w:rPr>
              <w:t>2020</w:t>
            </w:r>
            <w:r>
              <w:rPr>
                <w:rFonts w:hint="eastAsia" w:ascii="PMingLiU-ExtB" w:hAnsi="PMingLiU-ExtB" w:eastAsia="PMingLiU-ExtB"/>
                <w:b/>
                <w:color w:val="auto"/>
                <w:sz w:val="24"/>
                <w:szCs w:val="24"/>
              </w:rPr>
              <w:t>A0</w:t>
            </w:r>
            <w:r>
              <w:rPr>
                <w:rFonts w:hint="eastAsia" w:ascii="PMingLiU-ExtB" w:hAnsi="PMingLiU-ExtB"/>
                <w:b/>
                <w:color w:val="auto"/>
                <w:sz w:val="24"/>
                <w:szCs w:val="24"/>
                <w:lang w:val="en-US" w:eastAsia="zh-CN"/>
              </w:rPr>
              <w:t>7</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淮安律师业发展报告</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张沛生</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江苏群汇知缘律师事务所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1"/>
                <w:szCs w:val="21"/>
                <w:lang w:val="en-US" w:eastAsia="zh-CN" w:bidi="ar-SA"/>
              </w:rPr>
            </w:pPr>
            <w:r>
              <w:rPr>
                <w:rFonts w:hint="eastAsia" w:ascii="PMingLiU-ExtB" w:hAnsi="PMingLiU-ExtB" w:eastAsia="PMingLiU-ExtB"/>
                <w:b/>
                <w:color w:val="auto"/>
                <w:sz w:val="24"/>
                <w:szCs w:val="24"/>
              </w:rPr>
              <w:t>HFH</w:t>
            </w:r>
            <w:r>
              <w:rPr>
                <w:rFonts w:hint="eastAsia" w:ascii="PMingLiU-ExtB" w:hAnsi="PMingLiU-ExtB" w:eastAsia="宋体"/>
                <w:b/>
                <w:color w:val="auto"/>
                <w:sz w:val="24"/>
                <w:szCs w:val="24"/>
                <w:lang w:eastAsia="zh-CN"/>
              </w:rPr>
              <w:t>2020</w:t>
            </w:r>
            <w:r>
              <w:rPr>
                <w:rFonts w:hint="eastAsia" w:ascii="PMingLiU-ExtB" w:hAnsi="PMingLiU-ExtB" w:eastAsia="PMingLiU-ExtB"/>
                <w:b/>
                <w:color w:val="auto"/>
                <w:sz w:val="24"/>
                <w:szCs w:val="24"/>
              </w:rPr>
              <w:t>A0</w:t>
            </w:r>
            <w:r>
              <w:rPr>
                <w:rFonts w:hint="eastAsia" w:ascii="PMingLiU-ExtB" w:hAnsi="PMingLiU-ExtB"/>
                <w:b/>
                <w:color w:val="auto"/>
                <w:sz w:val="24"/>
                <w:szCs w:val="24"/>
                <w:lang w:val="en-US" w:eastAsia="zh-CN"/>
              </w:rPr>
              <w:t>9</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运用仲裁方式解决国有企业法律纠纷的实证研究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金  科</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淮安仲裁委员会秘书处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PMingLiU-ExtB" w:hAnsi="PMingLiU-ExtB" w:eastAsia="PMingLiU-ExtB"/>
                <w:b/>
                <w:color w:val="auto"/>
                <w:sz w:val="24"/>
                <w:szCs w:val="24"/>
              </w:rPr>
              <w:t>HFH</w:t>
            </w:r>
            <w:r>
              <w:rPr>
                <w:rFonts w:hint="eastAsia" w:ascii="PMingLiU-ExtB" w:hAnsi="PMingLiU-ExtB" w:eastAsia="宋体"/>
                <w:b/>
                <w:color w:val="auto"/>
                <w:sz w:val="24"/>
                <w:szCs w:val="24"/>
                <w:lang w:eastAsia="zh-CN"/>
              </w:rPr>
              <w:t>2020</w:t>
            </w:r>
            <w:r>
              <w:rPr>
                <w:rFonts w:hint="eastAsia" w:ascii="PMingLiU-ExtB" w:hAnsi="PMingLiU-ExtB" w:eastAsia="PMingLiU-ExtB"/>
                <w:b/>
                <w:color w:val="auto"/>
                <w:sz w:val="24"/>
                <w:szCs w:val="24"/>
              </w:rPr>
              <w:t>A</w:t>
            </w:r>
            <w:r>
              <w:rPr>
                <w:rFonts w:hint="eastAsia" w:ascii="PMingLiU-ExtB" w:hAnsi="PMingLiU-ExtB" w:eastAsia="宋体"/>
                <w:b/>
                <w:color w:val="auto"/>
                <w:sz w:val="24"/>
                <w:szCs w:val="24"/>
                <w:lang w:val="en-US" w:eastAsia="zh-CN"/>
              </w:rPr>
              <w:t>10</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扫黑除恶专项斗争中指定居所监视居住措施适用问题研究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崔  健</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PMingLiU-ExtB" w:hAnsi="PMingLiU-ExtB" w:eastAsia="PMingLiU-ExtB"/>
                <w:b/>
                <w:color w:val="auto"/>
                <w:sz w:val="24"/>
                <w:szCs w:val="24"/>
              </w:rPr>
              <w:t>HFH</w:t>
            </w:r>
            <w:r>
              <w:rPr>
                <w:rFonts w:hint="eastAsia" w:ascii="PMingLiU-ExtB" w:hAnsi="PMingLiU-ExtB" w:eastAsia="宋体"/>
                <w:b/>
                <w:color w:val="auto"/>
                <w:sz w:val="24"/>
                <w:szCs w:val="24"/>
                <w:lang w:eastAsia="zh-CN"/>
              </w:rPr>
              <w:t>2020</w:t>
            </w:r>
            <w:r>
              <w:rPr>
                <w:rFonts w:hint="eastAsia" w:ascii="PMingLiU-ExtB" w:hAnsi="PMingLiU-ExtB" w:eastAsia="PMingLiU-ExtB"/>
                <w:b/>
                <w:color w:val="auto"/>
                <w:sz w:val="24"/>
                <w:szCs w:val="24"/>
              </w:rPr>
              <w:t>A</w:t>
            </w:r>
            <w:r>
              <w:rPr>
                <w:rFonts w:hint="eastAsia" w:ascii="PMingLiU-ExtB" w:hAnsi="PMingLiU-ExtB" w:eastAsia="宋体"/>
                <w:b/>
                <w:color w:val="auto"/>
                <w:sz w:val="24"/>
                <w:szCs w:val="24"/>
                <w:lang w:val="en-US" w:eastAsia="zh-CN"/>
              </w:rPr>
              <w:t>11</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推进审判体系和审判能力现代化背景下建设现代化法院问题研究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章  润</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w:t>
            </w:r>
            <w:r>
              <w:rPr>
                <w:rFonts w:hint="eastAsia" w:ascii="PMingLiU-ExtB" w:hAnsi="PMingLiU-ExtB" w:eastAsia="宋体"/>
                <w:b/>
                <w:color w:val="auto"/>
                <w:sz w:val="24"/>
                <w:szCs w:val="24"/>
                <w:lang w:eastAsia="zh-CN"/>
              </w:rPr>
              <w:t>2020</w:t>
            </w:r>
            <w:r>
              <w:rPr>
                <w:rFonts w:hint="eastAsia" w:ascii="PMingLiU-ExtB" w:hAnsi="PMingLiU-ExtB" w:eastAsia="PMingLiU-ExtB"/>
                <w:b/>
                <w:color w:val="auto"/>
                <w:sz w:val="24"/>
                <w:szCs w:val="24"/>
              </w:rPr>
              <w:t>A</w:t>
            </w:r>
            <w:r>
              <w:rPr>
                <w:rFonts w:hint="eastAsia" w:ascii="PMingLiU-ExtB" w:hAnsi="PMingLiU-ExtB"/>
                <w:b/>
                <w:color w:val="auto"/>
                <w:sz w:val="24"/>
                <w:szCs w:val="24"/>
                <w:lang w:val="en-US" w:eastAsia="zh-CN"/>
              </w:rPr>
              <w:t>13</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关于破产案件快速审理机制的调研报告——以淮安市和经开区法院破产案件为研究样本</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薛  兵</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825" w:type="dxa"/>
            <w:gridSpan w:val="4"/>
            <w:tcBorders>
              <w:top w:val="single" w:color="auto" w:sz="4" w:space="0"/>
              <w:left w:val="nil"/>
              <w:bottom w:val="single" w:color="auto" w:sz="4" w:space="0"/>
              <w:right w:val="nil"/>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outlineLvl w:val="9"/>
              <w:rPr>
                <w:rFonts w:hint="eastAsia" w:ascii="Times New Roman" w:hAnsi="Times New Roman" w:eastAsia="方正仿宋_GBK" w:cs="Times New Roman"/>
                <w:color w:val="auto"/>
                <w:sz w:val="24"/>
              </w:rPr>
            </w:pPr>
            <w:r>
              <w:rPr>
                <w:rFonts w:hint="eastAsia" w:ascii="Times New Roman" w:hAnsi="Times New Roman" w:eastAsia="方正黑体_GBK" w:cs="Times New Roman"/>
                <w:bCs/>
                <w:color w:val="auto"/>
                <w:sz w:val="32"/>
                <w:szCs w:val="32"/>
                <w:lang w:val="en-US" w:eastAsia="zh-CN"/>
              </w:rPr>
              <w:t>良好</w:t>
            </w:r>
            <w:r>
              <w:rPr>
                <w:rFonts w:hint="default" w:ascii="Times New Roman" w:hAnsi="Times New Roman" w:eastAsia="方正黑体_GBK" w:cs="Times New Roman"/>
                <w:bCs/>
                <w:color w:val="auto"/>
                <w:sz w:val="32"/>
                <w:szCs w:val="32"/>
                <w:lang w:val="en-US" w:eastAsia="zh-CN"/>
              </w:rPr>
              <w:t>等次（</w:t>
            </w:r>
            <w:r>
              <w:rPr>
                <w:rFonts w:hint="eastAsia" w:ascii="Times New Roman" w:hAnsi="Times New Roman" w:eastAsia="方正黑体_GBK" w:cs="Times New Roman"/>
                <w:bCs/>
                <w:color w:val="auto"/>
                <w:sz w:val="32"/>
                <w:szCs w:val="32"/>
                <w:lang w:val="en-US" w:eastAsia="zh-CN"/>
              </w:rPr>
              <w:t>28</w:t>
            </w:r>
            <w:r>
              <w:rPr>
                <w:rFonts w:hint="default" w:ascii="Times New Roman" w:hAnsi="Times New Roman" w:eastAsia="方正黑体_GBK" w:cs="Times New Roman"/>
                <w:bCs/>
                <w:color w:val="auto"/>
                <w:sz w:val="32"/>
                <w:szCs w:val="32"/>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HFH2020A01</w:t>
            </w:r>
          </w:p>
        </w:tc>
        <w:tc>
          <w:tcPr>
            <w:tcW w:w="3209"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应急管理状态下执法司法的效率性与正当性研究</w:t>
            </w:r>
          </w:p>
        </w:tc>
        <w:tc>
          <w:tcPr>
            <w:tcW w:w="1174"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王长根</w:t>
            </w:r>
          </w:p>
        </w:tc>
        <w:tc>
          <w:tcPr>
            <w:tcW w:w="2898"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HFH2020A02</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检察机关服务保障民营经济供给侧改革实证研究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王新阳</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HFH2020A03</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“售后返租”式商品房买卖合同纠纷案件问题研究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孔令媛</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HFH2020A04</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优化营商环境背景下隐名股东查阅权实证分析</w:t>
            </w:r>
            <w:r>
              <w:rPr>
                <w:rFonts w:hint="eastAsia" w:ascii="Times New Roman" w:hAnsi="Times New Roman" w:eastAsia="方正仿宋_GBK" w:cs="Times New Roman"/>
                <w:color w:val="auto"/>
                <w:kern w:val="2"/>
                <w:sz w:val="24"/>
                <w:szCs w:val="24"/>
                <w:lang w:val="en-US" w:eastAsia="zh-CN" w:bidi="ar-SA"/>
              </w:rPr>
              <w:softHyphen/>
            </w:r>
            <w:r>
              <w:rPr>
                <w:rFonts w:hint="eastAsia" w:ascii="Times New Roman" w:hAnsi="Times New Roman" w:eastAsia="方正仿宋_GBK" w:cs="Times New Roman"/>
                <w:color w:val="auto"/>
                <w:kern w:val="2"/>
                <w:sz w:val="24"/>
                <w:szCs w:val="24"/>
                <w:lang w:val="en-US" w:eastAsia="zh-CN" w:bidi="ar-SA"/>
              </w:rPr>
              <w:softHyphen/>
            </w:r>
            <w:r>
              <w:rPr>
                <w:rFonts w:hint="eastAsia" w:ascii="Times New Roman" w:hAnsi="Times New Roman" w:eastAsia="方正仿宋_GBK" w:cs="Times New Roman"/>
                <w:color w:val="auto"/>
                <w:kern w:val="2"/>
                <w:sz w:val="24"/>
                <w:szCs w:val="24"/>
                <w:lang w:val="en-US" w:eastAsia="zh-CN" w:bidi="ar-SA"/>
              </w:rPr>
              <w:t>——以中小投资者保护为视角</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孙宪腾</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HFH2020A05</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疫情防控背景下企业用工纠纷处置应对研究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李锦骏</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HFH2020A08</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重大疫情防控中基层人民法院参与社会治理的路径探析</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张  强</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淮安市淮安区人民法院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HFH2020A12</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性侵未成年人案件证据审查难点问题探析</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潘凌云</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HFH2020B01</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“双无双创”在推进乡村社会治理中有效供给研究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王亚林</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HFH2020B02</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乡村振兴背景下农民合作社法律风险与司法应对</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尤铁梅</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淮安市淮阴区人民法院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HFH2020B04</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“民转刑”（轻罪）案件诉前矛盾化解机制研究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邢  娟</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淮安经济技术开发区人民检察院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HFH2020B09</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事实孤儿权益保障的现实困境与对策研究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何  喆</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共青团淮安市委员会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HFH2020B10</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新冠肺炎疫情防控期间危险犯的适用</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杨  柳</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淮安市公安局直属分局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HFH2020B11</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完善中国特色社会主义法治体系下加强地方人大司法监督的研究思考</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张守美</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淮安市人大常委会内务司法委员会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HFH2020B12</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基层自治法律法规实施状况研究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时恒支</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w:t>
            </w:r>
            <w:r>
              <w:rPr>
                <w:rFonts w:hint="eastAsia" w:ascii="PMingLiU-ExtB" w:hAnsi="PMingLiU-ExtB" w:eastAsia="PMingLiU-ExtB"/>
                <w:b/>
                <w:color w:val="auto"/>
                <w:sz w:val="24"/>
                <w:szCs w:val="24"/>
                <w:lang w:val="en-US" w:eastAsia="zh-CN"/>
              </w:rPr>
              <w:t>5</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乡村振兴战略背景下乡村治理体系的健全和完善——以淮安市为例</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林中正</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w:t>
            </w:r>
            <w:r>
              <w:rPr>
                <w:rFonts w:hint="eastAsia" w:ascii="PMingLiU-ExtB" w:hAnsi="PMingLiU-ExtB" w:eastAsia="PMingLiU-ExtB"/>
                <w:b/>
                <w:color w:val="auto"/>
                <w:sz w:val="24"/>
                <w:szCs w:val="24"/>
                <w:lang w:val="en-US" w:eastAsia="zh-CN"/>
              </w:rPr>
              <w:t>7</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大数据和司法责任制背景下检察业务工作评价体系的法治化调适与建构——以基层检察机关落实“案－件比”评价指标为视角</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周  飞</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淮安市淮阴区人民检察院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w:t>
            </w:r>
            <w:r>
              <w:rPr>
                <w:rFonts w:hint="eastAsia" w:ascii="PMingLiU-ExtB" w:hAnsi="PMingLiU-ExtB" w:eastAsia="PMingLiU-ExtB"/>
                <w:b/>
                <w:color w:val="auto"/>
                <w:sz w:val="24"/>
                <w:szCs w:val="24"/>
                <w:lang w:val="en-US" w:eastAsia="zh-CN"/>
              </w:rPr>
              <w:t>8</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行政审批制度改革中监管与执法衔接机制研究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赵  文</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HFH2020B</w:t>
            </w:r>
            <w:r>
              <w:rPr>
                <w:rFonts w:hint="eastAsia" w:ascii="PMingLiU-ExtB" w:hAnsi="PMingLiU-ExtB" w:eastAsia="PMingLiU-ExtB"/>
                <w:b/>
                <w:color w:val="auto"/>
                <w:sz w:val="24"/>
                <w:szCs w:val="24"/>
                <w:lang w:val="en-US" w:eastAsia="zh-CN"/>
              </w:rPr>
              <w:t>20</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行政机关治理能力现代化研究——从500件行政机关涉民商事案件为分析样本</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段庆丽</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淮安市涟水县人民法院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HFH2020B2</w:t>
            </w:r>
            <w:r>
              <w:rPr>
                <w:rFonts w:hint="eastAsia" w:ascii="PMingLiU-ExtB" w:hAnsi="PMingLiU-ExtB" w:eastAsia="PMingLiU-ExtB"/>
                <w:b/>
                <w:color w:val="auto"/>
                <w:sz w:val="24"/>
                <w:szCs w:val="24"/>
                <w:lang w:val="en-US" w:eastAsia="zh-CN"/>
              </w:rPr>
              <w:t>1</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重大突发公共卫生事件刑事应对处置机制构建初探</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姚文武</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淮安市金湖县人民检察院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HFH2020B2</w:t>
            </w:r>
            <w:r>
              <w:rPr>
                <w:rFonts w:hint="eastAsia" w:ascii="PMingLiU-ExtB" w:hAnsi="PMingLiU-ExtB" w:eastAsia="PMingLiU-ExtB"/>
                <w:b/>
                <w:color w:val="auto"/>
                <w:sz w:val="24"/>
                <w:szCs w:val="24"/>
                <w:lang w:val="en-US" w:eastAsia="zh-CN"/>
              </w:rPr>
              <w:t>4</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新冠肺炎疫情背景下野生动物的刑法保护研究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接  滨</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HFH2020B2</w:t>
            </w:r>
            <w:r>
              <w:rPr>
                <w:rFonts w:hint="eastAsia" w:ascii="PMingLiU-ExtB" w:hAnsi="PMingLiU-ExtB" w:eastAsia="PMingLiU-ExtB"/>
                <w:b/>
                <w:color w:val="auto"/>
                <w:sz w:val="24"/>
                <w:szCs w:val="24"/>
                <w:lang w:val="en-US" w:eastAsia="zh-CN"/>
              </w:rPr>
              <w:t>5</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使用虚假身份证件犯罪司法适用的问题及应对</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韩少芹</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淮安市清江浦区人民检察院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HFH2020B2</w:t>
            </w:r>
            <w:r>
              <w:rPr>
                <w:rFonts w:hint="eastAsia" w:ascii="PMingLiU-ExtB" w:hAnsi="PMingLiU-ExtB" w:eastAsia="PMingLiU-ExtB"/>
                <w:b/>
                <w:color w:val="auto"/>
                <w:sz w:val="24"/>
                <w:szCs w:val="24"/>
                <w:lang w:val="en-US" w:eastAsia="zh-CN"/>
              </w:rPr>
              <w:t>6</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民事发回重审制度的司法实践及改进</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韩  俊</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HFH2020B2</w:t>
            </w:r>
            <w:r>
              <w:rPr>
                <w:rFonts w:hint="eastAsia" w:ascii="PMingLiU-ExtB" w:hAnsi="PMingLiU-ExtB" w:eastAsia="PMingLiU-ExtB"/>
                <w:b/>
                <w:color w:val="auto"/>
                <w:sz w:val="24"/>
                <w:szCs w:val="24"/>
                <w:lang w:val="en-US" w:eastAsia="zh-CN"/>
              </w:rPr>
              <w:t>7</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生态环境损害赔偿立法问题研究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程  璇</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w:t>
            </w:r>
            <w:r>
              <w:rPr>
                <w:rFonts w:hint="eastAsia" w:ascii="PMingLiU-ExtB" w:hAnsi="PMingLiU-ExtB" w:eastAsia="PMingLiU-ExtB"/>
                <w:b/>
                <w:color w:val="auto"/>
                <w:sz w:val="24"/>
                <w:szCs w:val="24"/>
                <w:lang w:val="en-US" w:eastAsia="zh-CN"/>
              </w:rPr>
              <w:t>6</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市场监管行政执法规范化建设研究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孙人清</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谢  雨</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淮安市市场监督管理局</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淮阴师范学院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12</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“僵尸企业”处置的司法路径——基于淮安区法院清理超长期破产案件实践样本的考察</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汪性国</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淮安市淮安区人民法院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15</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关于司法审判服务保障法治乡村建设的调研</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武建国</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淮安市淮阴区人民法院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19</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股权代持执行异议之诉统一裁判标准的路径构建</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夏  奕</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淮安市淮安区人民法院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20</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“乡土社会”司法实践观察——以《送法下乡》为参照看基层司法二十年之变化</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夏海军</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淮安市淮阴区人民法院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8825" w:type="dxa"/>
            <w:gridSpan w:val="4"/>
            <w:tcBorders>
              <w:top w:val="single" w:color="auto" w:sz="4" w:space="0"/>
              <w:left w:val="nil"/>
              <w:bottom w:val="single" w:color="auto" w:sz="4" w:space="0"/>
              <w:right w:val="nil"/>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outlineLvl w:val="9"/>
              <w:rPr>
                <w:rFonts w:hint="eastAsia" w:ascii="Times New Roman" w:hAnsi="Times New Roman" w:eastAsia="方正仿宋_GBK" w:cs="Times New Roman"/>
                <w:color w:val="auto"/>
                <w:sz w:val="24"/>
              </w:rPr>
            </w:pPr>
            <w:r>
              <w:rPr>
                <w:rFonts w:hint="eastAsia" w:ascii="Times New Roman" w:hAnsi="Times New Roman" w:eastAsia="方正黑体_GBK" w:cs="Times New Roman"/>
                <w:bCs/>
                <w:color w:val="auto"/>
                <w:sz w:val="32"/>
                <w:szCs w:val="32"/>
                <w:lang w:val="en-US" w:eastAsia="zh-CN"/>
              </w:rPr>
              <w:t>合格</w:t>
            </w:r>
            <w:r>
              <w:rPr>
                <w:rFonts w:hint="default" w:ascii="Times New Roman" w:hAnsi="Times New Roman" w:eastAsia="方正黑体_GBK" w:cs="Times New Roman"/>
                <w:bCs/>
                <w:color w:val="auto"/>
                <w:sz w:val="32"/>
                <w:szCs w:val="32"/>
                <w:lang w:val="en-US" w:eastAsia="zh-CN"/>
              </w:rPr>
              <w:t>等次（</w:t>
            </w:r>
            <w:r>
              <w:rPr>
                <w:rFonts w:hint="eastAsia" w:ascii="Times New Roman" w:hAnsi="Times New Roman" w:eastAsia="方正黑体_GBK" w:cs="Times New Roman"/>
                <w:bCs/>
                <w:color w:val="auto"/>
                <w:sz w:val="32"/>
                <w:szCs w:val="32"/>
                <w:lang w:val="en-US" w:eastAsia="zh-CN"/>
              </w:rPr>
              <w:t>28</w:t>
            </w:r>
            <w:r>
              <w:rPr>
                <w:rFonts w:hint="default" w:ascii="Times New Roman" w:hAnsi="Times New Roman" w:eastAsia="方正黑体_GBK" w:cs="Times New Roman"/>
                <w:bCs/>
                <w:color w:val="auto"/>
                <w:sz w:val="32"/>
                <w:szCs w:val="32"/>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HFH2020B03</w:t>
            </w:r>
          </w:p>
        </w:tc>
        <w:tc>
          <w:tcPr>
            <w:tcW w:w="3209"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企业刑事合规检察监督研究</w:t>
            </w:r>
          </w:p>
        </w:tc>
        <w:tc>
          <w:tcPr>
            <w:tcW w:w="1174"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石海伟</w:t>
            </w:r>
          </w:p>
        </w:tc>
        <w:tc>
          <w:tcPr>
            <w:tcW w:w="2898"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淮安市洪泽区人民检察院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HFH2020B06</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试述如何在刑事法律框架下体现对民营企业的容错与保护</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刘正东</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淮安经济技术开发区人民检察院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HFH2020B07</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审计机关有效应对行政案件之路径探索</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刘孝武</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HFH2020B08</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当事人达成人民调解协议后再次诉讼现象之研究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孙  坚</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淮安市涟水县人民法院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HFH2020B13</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大运河文化遗产法律保护的制度伦理和实践进路研究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陈上海</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淮阴师范学院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w:t>
            </w:r>
            <w:r>
              <w:rPr>
                <w:rFonts w:hint="eastAsia" w:ascii="PMingLiU-ExtB" w:hAnsi="PMingLiU-ExtB" w:eastAsia="PMingLiU-ExtB"/>
                <w:b/>
                <w:color w:val="auto"/>
                <w:sz w:val="24"/>
                <w:szCs w:val="24"/>
                <w:lang w:val="en-US" w:eastAsia="zh-CN"/>
              </w:rPr>
              <w:t>4</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浅析新《刑事诉讼法》下的法律援助值班律师制度</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邵永高</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w:t>
            </w:r>
            <w:r>
              <w:rPr>
                <w:rFonts w:hint="eastAsia" w:ascii="PMingLiU-ExtB" w:hAnsi="PMingLiU-ExtB" w:eastAsia="PMingLiU-ExtB"/>
                <w:b/>
                <w:color w:val="auto"/>
                <w:sz w:val="24"/>
                <w:szCs w:val="24"/>
                <w:lang w:val="en-US" w:eastAsia="zh-CN"/>
              </w:rPr>
              <w:t>6</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劳动争议纠纷处理创新机制研究——以淮安经济技术开发区为例</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林华东</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纪石平</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淮阴师范学院</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淮安经济技术开发区人民法院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HFH2020B1</w:t>
            </w:r>
            <w:r>
              <w:rPr>
                <w:rFonts w:hint="eastAsia" w:ascii="PMingLiU-ExtB" w:hAnsi="PMingLiU-ExtB" w:eastAsia="PMingLiU-ExtB"/>
                <w:b/>
                <w:color w:val="auto"/>
                <w:sz w:val="24"/>
                <w:szCs w:val="24"/>
                <w:lang w:val="en-US" w:eastAsia="zh-CN"/>
              </w:rPr>
              <w:t>9</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不起诉案件适用非刑罚处罚措施研究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钮立祥</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淮安市涟水县人民检察院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HFH2020B2</w:t>
            </w:r>
            <w:r>
              <w:rPr>
                <w:rFonts w:hint="eastAsia" w:ascii="PMingLiU-ExtB" w:hAnsi="PMingLiU-ExtB" w:eastAsia="PMingLiU-ExtB"/>
                <w:b/>
                <w:color w:val="auto"/>
                <w:sz w:val="24"/>
                <w:szCs w:val="24"/>
                <w:lang w:val="en-US" w:eastAsia="zh-CN"/>
              </w:rPr>
              <w:t>2</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隶属海关在公共卫生事件应急管理中的法治实践</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骆  皎</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HFH2020B2</w:t>
            </w:r>
            <w:r>
              <w:rPr>
                <w:rFonts w:hint="eastAsia" w:ascii="PMingLiU-ExtB" w:hAnsi="PMingLiU-ExtB" w:eastAsia="PMingLiU-ExtB"/>
                <w:b/>
                <w:color w:val="auto"/>
                <w:sz w:val="24"/>
                <w:szCs w:val="24"/>
                <w:lang w:val="en-US" w:eastAsia="zh-CN"/>
              </w:rPr>
              <w:t>3</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疫情催生下共享员工若干法律问题</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唐晓燕</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C01</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认罪认罚中确定刑认识分歧及对策分析</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李丹丹</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淮安市淮安区人民检察院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w:t>
            </w:r>
            <w:r>
              <w:rPr>
                <w:rFonts w:hint="eastAsia" w:ascii="PMingLiU-ExtB" w:hAnsi="PMingLiU-ExtB" w:eastAsia="PMingLiU-ExtB"/>
                <w:b/>
                <w:color w:val="auto"/>
                <w:sz w:val="24"/>
                <w:szCs w:val="24"/>
                <w:lang w:val="en-US" w:eastAsia="zh-CN"/>
              </w:rPr>
              <w:t>3</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服务经济高质量发展语境下问题楼盘的司法应对与解决——以盱眙县域情况为样本</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张永丽</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w:t>
            </w:r>
            <w:r>
              <w:rPr>
                <w:rFonts w:hint="eastAsia" w:ascii="PMingLiU-ExtB" w:hAnsi="PMingLiU-ExtB" w:eastAsia="PMingLiU-ExtB"/>
                <w:b/>
                <w:color w:val="auto"/>
                <w:sz w:val="24"/>
                <w:szCs w:val="24"/>
                <w:lang w:val="en-US" w:eastAsia="zh-CN"/>
              </w:rPr>
              <w:t>4</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乡村振兴战略下淮安农村宅基地权益保护研究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陈  明</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淮阴工学院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w:t>
            </w:r>
            <w:r>
              <w:rPr>
                <w:rFonts w:hint="eastAsia" w:ascii="PMingLiU-ExtB" w:hAnsi="PMingLiU-ExtB" w:eastAsia="PMingLiU-ExtB"/>
                <w:b/>
                <w:color w:val="auto"/>
                <w:sz w:val="24"/>
                <w:szCs w:val="24"/>
                <w:lang w:val="en-US" w:eastAsia="zh-CN"/>
              </w:rPr>
              <w:t>5</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构建性侵未成年人案件证据指控体系的实证研究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刘  刚</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淮安市淮阴区人民检察院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w:t>
            </w:r>
            <w:r>
              <w:rPr>
                <w:rFonts w:hint="eastAsia" w:ascii="PMingLiU-ExtB" w:hAnsi="PMingLiU-ExtB" w:eastAsia="PMingLiU-ExtB"/>
                <w:b/>
                <w:color w:val="auto"/>
                <w:sz w:val="24"/>
                <w:szCs w:val="24"/>
                <w:lang w:val="en-US" w:eastAsia="zh-CN"/>
              </w:rPr>
              <w:t>7</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以审判为中心背景下对认罪认罚案件量刑精准化的原理与路径问题的研究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李  林</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淮安市淮阴区人民检察院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w:t>
            </w:r>
            <w:r>
              <w:rPr>
                <w:rFonts w:hint="eastAsia" w:ascii="PMingLiU-ExtB" w:hAnsi="PMingLiU-ExtB" w:eastAsia="PMingLiU-ExtB"/>
                <w:b/>
                <w:color w:val="auto"/>
                <w:sz w:val="24"/>
                <w:szCs w:val="24"/>
                <w:lang w:val="en-US" w:eastAsia="zh-CN"/>
              </w:rPr>
              <w:t>8</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现代化诉讼服务与分调裁审一体化研究——以诉讼服务的“淮安模式”为视角</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李学辉</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C0</w:t>
            </w:r>
            <w:r>
              <w:rPr>
                <w:rFonts w:hint="eastAsia" w:ascii="PMingLiU-ExtB" w:hAnsi="PMingLiU-ExtB" w:eastAsia="PMingLiU-ExtB"/>
                <w:b/>
                <w:color w:val="auto"/>
                <w:sz w:val="24"/>
                <w:szCs w:val="24"/>
                <w:lang w:val="en-US" w:eastAsia="zh-CN"/>
              </w:rPr>
              <w:t>9</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检察机关创设新案型法律监督体系提出和实践路径研究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杨  杨</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10</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强化疫情防控，用“良法善治”夯实“国家治理”的制度根基</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吴秀荣</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11</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关于执行辅助事务机制改革的研究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何素军</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13</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律师在《淮河生态经济带发展规划》中的支持性作用</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宋崇迪</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淮安市律师协会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14</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淮安城区调保结合解决医疗纠纷实证研究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张海林</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16</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虚开增值税专用发票中国家税款损失的理解与认定</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赵春午</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淮安市金湖县人民检察院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17</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关于基层法院执行团队设置及力量配置的研究报告</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姚月梅</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淮安市盱眙县人民法院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18</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司法在破除营商环境梗阻中有效供给研究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袁爱军</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淮安市洪泽区人民法院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21</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罪错未成年人行为分级处遇制度研究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徐加山</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淮安市洪泽区人民检察院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22</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淮安高校专利转化促进机制研究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陶中怡</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淮阴师范学院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23</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建设工程施工合同中实际施工人的权责研究</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蒋其文</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PMingLiU-ExtB" w:hAnsi="PMingLiU-ExtB" w:eastAsia="PMingLiU-ExtB"/>
                <w:b/>
                <w:color w:val="auto"/>
                <w:sz w:val="24"/>
                <w:szCs w:val="24"/>
                <w:lang w:val="en-US" w:eastAsia="zh-CN"/>
              </w:rPr>
            </w:pPr>
            <w:r>
              <w:rPr>
                <w:rFonts w:hint="eastAsia" w:ascii="PMingLiU-ExtB" w:hAnsi="PMingLiU-ExtB" w:eastAsia="PMingLiU-ExtB"/>
                <w:b/>
                <w:color w:val="auto"/>
                <w:sz w:val="24"/>
                <w:szCs w:val="24"/>
              </w:rPr>
              <w:t>HFH20</w:t>
            </w:r>
            <w:r>
              <w:rPr>
                <w:rFonts w:hint="eastAsia" w:ascii="PMingLiU-ExtB" w:hAnsi="PMingLiU-ExtB" w:eastAsia="PMingLiU-ExtB"/>
                <w:b/>
                <w:color w:val="auto"/>
                <w:sz w:val="24"/>
                <w:szCs w:val="24"/>
                <w:lang w:val="en-US" w:eastAsia="zh-CN"/>
              </w:rPr>
              <w:t>20</w:t>
            </w:r>
            <w:r>
              <w:rPr>
                <w:rFonts w:hint="eastAsia" w:ascii="PMingLiU-ExtB" w:hAnsi="PMingLiU-ExtB" w:eastAsia="PMingLiU-ExtB"/>
                <w:b/>
                <w:color w:val="auto"/>
                <w:sz w:val="24"/>
                <w:szCs w:val="24"/>
              </w:rPr>
              <w:t>C</w:t>
            </w:r>
            <w:r>
              <w:rPr>
                <w:rFonts w:hint="eastAsia" w:ascii="PMingLiU-ExtB" w:hAnsi="PMingLiU-ExtB" w:eastAsia="PMingLiU-ExtB"/>
                <w:b/>
                <w:color w:val="auto"/>
                <w:sz w:val="24"/>
                <w:szCs w:val="24"/>
                <w:lang w:val="en-US" w:eastAsia="zh-CN"/>
              </w:rPr>
              <w:t>24</w:t>
            </w:r>
          </w:p>
        </w:tc>
        <w:tc>
          <w:tcPr>
            <w:tcW w:w="32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二审民商事案件适用独任制审理的理性辨析与路径探索—以案件繁简分流为视角</w:t>
            </w:r>
          </w:p>
        </w:tc>
        <w:tc>
          <w:tcPr>
            <w:tcW w:w="11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李  玲</w:t>
            </w:r>
          </w:p>
        </w:tc>
        <w:tc>
          <w:tcPr>
            <w:tcW w:w="28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eastAsia="方正仿宋_GBK" w:cs="Times New Roman"/>
                <w:color w:val="auto"/>
                <w:kern w:val="2"/>
                <w:sz w:val="24"/>
                <w:szCs w:val="24"/>
                <w:lang w:val="en-US" w:eastAsia="zh-CN" w:bidi="ar-SA"/>
              </w:rPr>
              <w:t>淮安市中级人民法院</w:t>
            </w: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right="0" w:rightChars="0"/>
        <w:textAlignment w:val="auto"/>
        <w:rPr>
          <w:rFonts w:hint="eastAsia" w:ascii="方正仿宋_GBK" w:hAnsi="方正仿宋_GBK" w:eastAsia="方正仿宋_GBK" w:cs="方正仿宋_GBK"/>
          <w:b w:val="0"/>
          <w:i w:val="0"/>
          <w:caps w:val="0"/>
          <w:color w:val="000000"/>
          <w:spacing w:val="0"/>
          <w:sz w:val="32"/>
          <w:szCs w:val="32"/>
          <w:lang w:val="en-US" w:eastAsia="zh-CN"/>
        </w:rPr>
      </w:pPr>
    </w:p>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PMingLiU-ExtB">
    <w:panose1 w:val="02020500000000000000"/>
    <w:charset w:val="88"/>
    <w:family w:val="roman"/>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F47EB"/>
    <w:rsid w:val="00B4717F"/>
    <w:rsid w:val="01A84192"/>
    <w:rsid w:val="01F03B64"/>
    <w:rsid w:val="04EC1CAA"/>
    <w:rsid w:val="05882DF1"/>
    <w:rsid w:val="066D3614"/>
    <w:rsid w:val="0BEF737B"/>
    <w:rsid w:val="0C5A32B2"/>
    <w:rsid w:val="0CB446BB"/>
    <w:rsid w:val="0D761007"/>
    <w:rsid w:val="0ED5123F"/>
    <w:rsid w:val="12EA184F"/>
    <w:rsid w:val="13083398"/>
    <w:rsid w:val="1340315C"/>
    <w:rsid w:val="16173A81"/>
    <w:rsid w:val="1720227E"/>
    <w:rsid w:val="187E4803"/>
    <w:rsid w:val="1A6D1196"/>
    <w:rsid w:val="1A765D6E"/>
    <w:rsid w:val="1B7B69A3"/>
    <w:rsid w:val="1E54026C"/>
    <w:rsid w:val="1EF2428A"/>
    <w:rsid w:val="23CE1133"/>
    <w:rsid w:val="24AB0429"/>
    <w:rsid w:val="251669BE"/>
    <w:rsid w:val="29EB1990"/>
    <w:rsid w:val="2A8F2AC7"/>
    <w:rsid w:val="2B7A0B68"/>
    <w:rsid w:val="2D8A5958"/>
    <w:rsid w:val="2E396B25"/>
    <w:rsid w:val="2F883632"/>
    <w:rsid w:val="324E3D30"/>
    <w:rsid w:val="32F21434"/>
    <w:rsid w:val="33C44ADE"/>
    <w:rsid w:val="34E046FE"/>
    <w:rsid w:val="35542A1E"/>
    <w:rsid w:val="36E91B94"/>
    <w:rsid w:val="370B7404"/>
    <w:rsid w:val="37707B15"/>
    <w:rsid w:val="38412B24"/>
    <w:rsid w:val="3ABA1BEE"/>
    <w:rsid w:val="3B2A79A4"/>
    <w:rsid w:val="3BA41468"/>
    <w:rsid w:val="3BBE1420"/>
    <w:rsid w:val="3C2E0240"/>
    <w:rsid w:val="3D456BF6"/>
    <w:rsid w:val="3E8D541C"/>
    <w:rsid w:val="3E990485"/>
    <w:rsid w:val="3EBF1F4F"/>
    <w:rsid w:val="3F685F5B"/>
    <w:rsid w:val="40A22480"/>
    <w:rsid w:val="454F10FE"/>
    <w:rsid w:val="460C1ED4"/>
    <w:rsid w:val="46C908B8"/>
    <w:rsid w:val="47677202"/>
    <w:rsid w:val="497B782C"/>
    <w:rsid w:val="4A205E4B"/>
    <w:rsid w:val="4A222E4B"/>
    <w:rsid w:val="4CAC499E"/>
    <w:rsid w:val="4CB11B22"/>
    <w:rsid w:val="4D250095"/>
    <w:rsid w:val="4E806B91"/>
    <w:rsid w:val="4F1B6518"/>
    <w:rsid w:val="51A42880"/>
    <w:rsid w:val="51BE7E53"/>
    <w:rsid w:val="533A577F"/>
    <w:rsid w:val="5502223E"/>
    <w:rsid w:val="55922970"/>
    <w:rsid w:val="55EF111B"/>
    <w:rsid w:val="5DD311EA"/>
    <w:rsid w:val="5EBA78B3"/>
    <w:rsid w:val="5FB30E1C"/>
    <w:rsid w:val="62231897"/>
    <w:rsid w:val="638B2B4B"/>
    <w:rsid w:val="65996376"/>
    <w:rsid w:val="66856AD8"/>
    <w:rsid w:val="6A3F49A4"/>
    <w:rsid w:val="6B0A0CA7"/>
    <w:rsid w:val="6B580E30"/>
    <w:rsid w:val="6BFD0C59"/>
    <w:rsid w:val="6CC72EF4"/>
    <w:rsid w:val="700333EF"/>
    <w:rsid w:val="713B283B"/>
    <w:rsid w:val="71B334C6"/>
    <w:rsid w:val="73341C38"/>
    <w:rsid w:val="74083BFC"/>
    <w:rsid w:val="75C808CD"/>
    <w:rsid w:val="770C0807"/>
    <w:rsid w:val="7A7B7142"/>
    <w:rsid w:val="7AF26CCC"/>
    <w:rsid w:val="7D9F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rFonts w:eastAsia="宋体"/>
      <w:kern w:val="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ndnote reference"/>
    <w:qFormat/>
    <w:uiPriority w:val="0"/>
    <w:rPr>
      <w:vertAlign w:val="superscript"/>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footnote reference"/>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Cloris</cp:lastModifiedBy>
  <cp:lastPrinted>2020-12-18T13:03:00Z</cp:lastPrinted>
  <dcterms:modified xsi:type="dcterms:W3CDTF">2020-12-21T09:49:38Z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